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82081" w14:textId="77777777" w:rsidR="009E67CB" w:rsidRDefault="00B25770" w:rsidP="009E67CB">
      <w:pPr>
        <w:tabs>
          <w:tab w:val="center" w:pos="4680"/>
        </w:tabs>
        <w:suppressAutoHyphens/>
        <w:jc w:val="center"/>
        <w:rPr>
          <w:b/>
          <w:spacing w:val="-3"/>
        </w:rPr>
      </w:pPr>
      <w:r w:rsidRPr="0016553F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421947C7" wp14:editId="5EE36FDD">
            <wp:simplePos x="0" y="0"/>
            <wp:positionH relativeFrom="column">
              <wp:posOffset>1609725</wp:posOffset>
            </wp:positionH>
            <wp:positionV relativeFrom="paragraph">
              <wp:posOffset>9525</wp:posOffset>
            </wp:positionV>
            <wp:extent cx="2542540" cy="385445"/>
            <wp:effectExtent l="0" t="0" r="0" b="0"/>
            <wp:wrapTight wrapText="bothSides">
              <wp:wrapPolygon edited="0">
                <wp:start x="0" y="0"/>
                <wp:lineTo x="0" y="20283"/>
                <wp:lineTo x="21363" y="20283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erceTransit_NEW LOGO Standard_Horiz_blugr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3AA97" w14:textId="77777777" w:rsidR="009E67CB" w:rsidRDefault="009E67CB" w:rsidP="009E67CB">
      <w:pPr>
        <w:tabs>
          <w:tab w:val="center" w:pos="4680"/>
        </w:tabs>
        <w:suppressAutoHyphens/>
        <w:jc w:val="both"/>
        <w:rPr>
          <w:b/>
          <w:spacing w:val="-3"/>
        </w:rPr>
      </w:pPr>
    </w:p>
    <w:p w14:paraId="2C441F66" w14:textId="77777777" w:rsidR="00B25770" w:rsidRDefault="009E67CB" w:rsidP="009E67CB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</w:p>
    <w:p w14:paraId="690276BD" w14:textId="64489ACA" w:rsidR="005A43F8" w:rsidRDefault="005A43F8" w:rsidP="005A43F8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The Pierce Transit Board of Commissioners adopted the Fee Schedule on September 10, 2018, Resolution No. </w:t>
      </w:r>
      <w:r w:rsidR="00CF4184">
        <w:rPr>
          <w:spacing w:val="-3"/>
        </w:rPr>
        <w:t>2018-035.</w:t>
      </w:r>
      <w:bookmarkStart w:id="0" w:name="_GoBack"/>
      <w:bookmarkEnd w:id="0"/>
    </w:p>
    <w:p w14:paraId="4052F913" w14:textId="2CC0102D" w:rsidR="00B25770" w:rsidRDefault="00B25770" w:rsidP="00A11866">
      <w:pPr>
        <w:tabs>
          <w:tab w:val="center" w:pos="4680"/>
        </w:tabs>
        <w:suppressAutoHyphens/>
        <w:jc w:val="both"/>
        <w:rPr>
          <w:spacing w:val="-3"/>
        </w:rPr>
      </w:pPr>
    </w:p>
    <w:p w14:paraId="4A2A256B" w14:textId="77777777" w:rsidR="00796832" w:rsidRDefault="00796832" w:rsidP="00B25770">
      <w:pPr>
        <w:tabs>
          <w:tab w:val="left" w:pos="-720"/>
        </w:tabs>
        <w:suppressAutoHyphens/>
        <w:jc w:val="both"/>
        <w:rPr>
          <w:spacing w:val="-3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603"/>
        <w:gridCol w:w="7032"/>
      </w:tblGrid>
      <w:tr w:rsidR="00B25770" w:rsidRPr="00994173" w14:paraId="32803472" w14:textId="77777777" w:rsidTr="002B68F9">
        <w:tc>
          <w:tcPr>
            <w:tcW w:w="8635" w:type="dxa"/>
            <w:gridSpan w:val="2"/>
          </w:tcPr>
          <w:p w14:paraId="4DEA59B4" w14:textId="77777777" w:rsidR="00B25770" w:rsidRPr="00994173" w:rsidRDefault="00B25770" w:rsidP="00B25770">
            <w:pPr>
              <w:jc w:val="center"/>
              <w:rPr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  <w:sz w:val="28"/>
                <w:szCs w:val="28"/>
                <w:highlight w:val="black"/>
              </w:rPr>
              <w:t xml:space="preserve">Proposed </w:t>
            </w:r>
            <w:r w:rsidRPr="00994173">
              <w:rPr>
                <w:b/>
                <w:color w:val="D9D9D9" w:themeColor="background1" w:themeShade="D9"/>
                <w:sz w:val="28"/>
                <w:szCs w:val="28"/>
                <w:highlight w:val="black"/>
              </w:rPr>
              <w:t>Fee Schedule</w:t>
            </w:r>
            <w:r w:rsidRPr="00705EEA">
              <w:rPr>
                <w:b/>
                <w:color w:val="D9D9D9" w:themeColor="background1" w:themeShade="D9"/>
                <w:sz w:val="28"/>
                <w:szCs w:val="28"/>
                <w:highlight w:val="black"/>
              </w:rPr>
              <w:t xml:space="preserve"> for Public Records</w:t>
            </w:r>
          </w:p>
        </w:tc>
      </w:tr>
      <w:tr w:rsidR="00B25770" w14:paraId="78542DCD" w14:textId="77777777" w:rsidTr="002B68F9">
        <w:tc>
          <w:tcPr>
            <w:tcW w:w="1603" w:type="dxa"/>
          </w:tcPr>
          <w:p w14:paraId="7B68BC06" w14:textId="77777777" w:rsidR="00B25770" w:rsidRPr="001F7E68" w:rsidRDefault="00715BA0" w:rsidP="00E9707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Charges</w:t>
            </w:r>
          </w:p>
        </w:tc>
        <w:tc>
          <w:tcPr>
            <w:tcW w:w="7032" w:type="dxa"/>
          </w:tcPr>
          <w:p w14:paraId="7C021E5F" w14:textId="77777777" w:rsidR="00B25770" w:rsidRPr="001F7E68" w:rsidRDefault="00715BA0" w:rsidP="00B25770">
            <w:pPr>
              <w:rPr>
                <w:rFonts w:ascii="Times New Roman" w:hAnsi="Times New Roman" w:cs="Times New Roman"/>
                <w:szCs w:val="24"/>
              </w:rPr>
            </w:pPr>
            <w:r w:rsidRPr="00715BA0">
              <w:rPr>
                <w:rFonts w:ascii="Times New Roman" w:hAnsi="Times New Roman" w:cs="Times New Roman"/>
                <w:szCs w:val="24"/>
              </w:rPr>
              <w:t xml:space="preserve">Pierce Transit </w:t>
            </w:r>
            <w:r>
              <w:rPr>
                <w:rFonts w:ascii="Times New Roman" w:hAnsi="Times New Roman" w:cs="Times New Roman"/>
                <w:szCs w:val="24"/>
              </w:rPr>
              <w:t>proposes to</w:t>
            </w:r>
            <w:r w:rsidRPr="00715BA0">
              <w:rPr>
                <w:rFonts w:ascii="Times New Roman" w:hAnsi="Times New Roman" w:cs="Times New Roman"/>
                <w:szCs w:val="24"/>
              </w:rPr>
              <w:t xml:space="preserve"> adopt the statutory fee schedule as set forth in RCW 42.56.120 (2)(b), as set forth below.</w:t>
            </w:r>
          </w:p>
        </w:tc>
      </w:tr>
      <w:tr w:rsidR="00B25770" w14:paraId="722D88F1" w14:textId="77777777" w:rsidTr="002B68F9">
        <w:tc>
          <w:tcPr>
            <w:tcW w:w="1603" w:type="dxa"/>
          </w:tcPr>
          <w:p w14:paraId="506E0516" w14:textId="77777777" w:rsidR="00B25770" w:rsidRPr="001F7E68" w:rsidRDefault="00B25770" w:rsidP="00E97072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F7E68">
              <w:rPr>
                <w:rFonts w:ascii="Times New Roman" w:hAnsi="Times New Roman" w:cs="Times New Roman"/>
                <w:b/>
                <w:szCs w:val="24"/>
              </w:rPr>
              <w:t>Copies:</w:t>
            </w:r>
          </w:p>
        </w:tc>
        <w:tc>
          <w:tcPr>
            <w:tcW w:w="7032" w:type="dxa"/>
          </w:tcPr>
          <w:p w14:paraId="27C60153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5770" w14:paraId="1C5B2D20" w14:textId="77777777" w:rsidTr="002B68F9">
        <w:tc>
          <w:tcPr>
            <w:tcW w:w="1603" w:type="dxa"/>
          </w:tcPr>
          <w:p w14:paraId="57EB83CE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15 cents/page</w:t>
            </w:r>
          </w:p>
        </w:tc>
        <w:tc>
          <w:tcPr>
            <w:tcW w:w="7032" w:type="dxa"/>
          </w:tcPr>
          <w:p w14:paraId="012C523A" w14:textId="77777777" w:rsidR="00B25770" w:rsidRPr="001F7E68" w:rsidRDefault="00B25770" w:rsidP="00B25770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Photocopies, printed copies of electronic records when requested by the requester.</w:t>
            </w:r>
          </w:p>
        </w:tc>
      </w:tr>
      <w:tr w:rsidR="00B25770" w14:paraId="4F499523" w14:textId="77777777" w:rsidTr="002B68F9">
        <w:tc>
          <w:tcPr>
            <w:tcW w:w="1603" w:type="dxa"/>
          </w:tcPr>
          <w:p w14:paraId="70DEE4FD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10 cents/page</w:t>
            </w:r>
          </w:p>
        </w:tc>
        <w:tc>
          <w:tcPr>
            <w:tcW w:w="7032" w:type="dxa"/>
          </w:tcPr>
          <w:p w14:paraId="3203A460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 xml:space="preserve">Records scanned from paper to an electronic document. </w:t>
            </w:r>
          </w:p>
          <w:p w14:paraId="50C5CCAB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5770" w14:paraId="5D3FE72C" w14:textId="77777777" w:rsidTr="002B68F9">
        <w:tc>
          <w:tcPr>
            <w:tcW w:w="1603" w:type="dxa"/>
          </w:tcPr>
          <w:p w14:paraId="54EB3176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5 cents/each 4 electronic files or attachments</w:t>
            </w:r>
          </w:p>
        </w:tc>
        <w:tc>
          <w:tcPr>
            <w:tcW w:w="7032" w:type="dxa"/>
          </w:tcPr>
          <w:p w14:paraId="5DD55C39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Records uploaded to email, or cloud-based data storage service, or other means of electronic delivery.</w:t>
            </w:r>
          </w:p>
        </w:tc>
      </w:tr>
      <w:tr w:rsidR="00B25770" w14:paraId="5AC44BA5" w14:textId="77777777" w:rsidTr="002B68F9">
        <w:tc>
          <w:tcPr>
            <w:tcW w:w="1603" w:type="dxa"/>
          </w:tcPr>
          <w:p w14:paraId="77947579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 xml:space="preserve"> c</w:t>
            </w:r>
            <w:r w:rsidRPr="001F7E68">
              <w:rPr>
                <w:rFonts w:ascii="Times New Roman" w:hAnsi="Times New Roman" w:cs="Times New Roman"/>
                <w:szCs w:val="24"/>
              </w:rPr>
              <w:t>ents/gigabyte</w:t>
            </w:r>
          </w:p>
        </w:tc>
        <w:tc>
          <w:tcPr>
            <w:tcW w:w="7032" w:type="dxa"/>
          </w:tcPr>
          <w:p w14:paraId="156B91C7" w14:textId="77777777" w:rsidR="00B25770" w:rsidRPr="001F7E68" w:rsidRDefault="00B25770" w:rsidP="00B25770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Records transmitted in electronic format or for use of agency equipment to send records electronically.</w:t>
            </w:r>
          </w:p>
        </w:tc>
      </w:tr>
      <w:tr w:rsidR="00B25770" w14:paraId="76A65309" w14:textId="77777777" w:rsidTr="002B68F9">
        <w:tc>
          <w:tcPr>
            <w:tcW w:w="1603" w:type="dxa"/>
          </w:tcPr>
          <w:p w14:paraId="3796D64E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Actual cost</w:t>
            </w:r>
          </w:p>
        </w:tc>
        <w:tc>
          <w:tcPr>
            <w:tcW w:w="7032" w:type="dxa"/>
          </w:tcPr>
          <w:p w14:paraId="30A82E40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Digital storage media devices.</w:t>
            </w:r>
          </w:p>
          <w:p w14:paraId="3F0324C4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5770" w14:paraId="04C8C322" w14:textId="77777777" w:rsidTr="002B68F9">
        <w:tc>
          <w:tcPr>
            <w:tcW w:w="1603" w:type="dxa"/>
          </w:tcPr>
          <w:p w14:paraId="65CC6652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Actual cost</w:t>
            </w:r>
          </w:p>
        </w:tc>
        <w:tc>
          <w:tcPr>
            <w:tcW w:w="7032" w:type="dxa"/>
          </w:tcPr>
          <w:p w14:paraId="6D7E40E9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Any container or envelope used to mail copies.</w:t>
            </w:r>
          </w:p>
          <w:p w14:paraId="1F8D24C8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5770" w14:paraId="1BE87F38" w14:textId="77777777" w:rsidTr="002B68F9">
        <w:tc>
          <w:tcPr>
            <w:tcW w:w="1603" w:type="dxa"/>
          </w:tcPr>
          <w:p w14:paraId="24F2A4DA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Actual cost</w:t>
            </w:r>
          </w:p>
        </w:tc>
        <w:tc>
          <w:tcPr>
            <w:tcW w:w="7032" w:type="dxa"/>
          </w:tcPr>
          <w:p w14:paraId="0BAB0D33" w14:textId="357EEC38" w:rsidR="00B25770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 w:rsidRPr="001F7E68">
              <w:rPr>
                <w:rFonts w:ascii="Times New Roman" w:hAnsi="Times New Roman" w:cs="Times New Roman"/>
                <w:szCs w:val="24"/>
              </w:rPr>
              <w:t>Postage o</w:t>
            </w:r>
            <w:r w:rsidR="00A11866">
              <w:rPr>
                <w:rFonts w:ascii="Times New Roman" w:hAnsi="Times New Roman" w:cs="Times New Roman"/>
                <w:szCs w:val="24"/>
              </w:rPr>
              <w:t>r</w:t>
            </w:r>
            <w:r w:rsidRPr="001F7E68">
              <w:rPr>
                <w:rFonts w:ascii="Times New Roman" w:hAnsi="Times New Roman" w:cs="Times New Roman"/>
                <w:szCs w:val="24"/>
              </w:rPr>
              <w:t xml:space="preserve"> delivery charges.</w:t>
            </w:r>
          </w:p>
          <w:p w14:paraId="3C261460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5770" w14:paraId="0ABE31B9" w14:textId="77777777" w:rsidTr="002B68F9">
        <w:tc>
          <w:tcPr>
            <w:tcW w:w="1603" w:type="dxa"/>
          </w:tcPr>
          <w:p w14:paraId="416540BD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bookmarkStart w:id="1" w:name="_Hlk520815441"/>
            <w:r>
              <w:rPr>
                <w:rFonts w:ascii="Times New Roman" w:hAnsi="Times New Roman" w:cs="Times New Roman"/>
                <w:szCs w:val="24"/>
              </w:rPr>
              <w:t>Actual cost</w:t>
            </w:r>
          </w:p>
        </w:tc>
        <w:tc>
          <w:tcPr>
            <w:tcW w:w="7032" w:type="dxa"/>
          </w:tcPr>
          <w:p w14:paraId="647171BE" w14:textId="7919129B" w:rsidR="00B25770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Access records from third-party vendors</w:t>
            </w:r>
            <w:r w:rsidR="00D91DC7">
              <w:rPr>
                <w:rFonts w:ascii="Times New Roman" w:hAnsi="Times New Roman" w:cs="Times New Roman"/>
                <w:szCs w:val="24"/>
              </w:rPr>
              <w:t>.</w:t>
            </w:r>
          </w:p>
          <w:p w14:paraId="6F25731E" w14:textId="77777777" w:rsidR="00B25770" w:rsidRPr="001F7E68" w:rsidRDefault="00B25770" w:rsidP="00E9707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"/>
      <w:tr w:rsidR="00B25770" w14:paraId="1F481CD9" w14:textId="77777777" w:rsidTr="002B68F9">
        <w:tc>
          <w:tcPr>
            <w:tcW w:w="8635" w:type="dxa"/>
            <w:gridSpan w:val="2"/>
          </w:tcPr>
          <w:p w14:paraId="3D86485F" w14:textId="77777777" w:rsidR="00B25770" w:rsidRDefault="00B25770" w:rsidP="00B25770">
            <w:pPr>
              <w:rPr>
                <w:rFonts w:ascii="Times New Roman" w:hAnsi="Times New Roman" w:cs="Times New Roman"/>
                <w:szCs w:val="24"/>
              </w:rPr>
            </w:pPr>
            <w:r w:rsidRPr="00994173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75191" wp14:editId="0911112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38100</wp:posOffset>
                      </wp:positionV>
                      <wp:extent cx="45719" cy="133350"/>
                      <wp:effectExtent l="19050" t="19050" r="31115" b="19050"/>
                      <wp:wrapNone/>
                      <wp:docPr id="2" name="Arrow: U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33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EC413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2" o:spid="_x0000_s1026" type="#_x0000_t68" style="position:absolute;margin-left:1.85pt;margin-top:3pt;width:3.6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" adj="3703" fillcolor="#5b9bd5 [3204]" strokecolor="#1f4d78 [1604]" strokeweight="1pt"/>
                  </w:pict>
                </mc:Fallback>
              </mc:AlternateContent>
            </w:r>
            <w:r w:rsidRPr="00994173">
              <w:rPr>
                <w:rFonts w:ascii="Times New Roman" w:hAnsi="Times New Roman" w:cs="Times New Roman"/>
                <w:szCs w:val="24"/>
              </w:rPr>
              <w:t xml:space="preserve">    Copy charges above may be combined to the extent more than one type of charge applies to copies responsive to a particular request.</w:t>
            </w:r>
          </w:p>
          <w:p w14:paraId="639326E5" w14:textId="77777777" w:rsidR="00D10901" w:rsidRPr="001F7E68" w:rsidRDefault="00D10901" w:rsidP="00B2577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0901" w14:paraId="64A3B3E4" w14:textId="77777777" w:rsidTr="002B68F9">
        <w:tc>
          <w:tcPr>
            <w:tcW w:w="8635" w:type="dxa"/>
            <w:gridSpan w:val="2"/>
          </w:tcPr>
          <w:p w14:paraId="2C877BC3" w14:textId="77777777" w:rsidR="00D10901" w:rsidRPr="00D10901" w:rsidRDefault="00D10901" w:rsidP="00D10901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*</w:t>
            </w:r>
            <w:r w:rsidRPr="00797EF3">
              <w:rPr>
                <w:rFonts w:ascii="Times New Roman" w:hAnsi="Times New Roman" w:cs="Times New Roman"/>
                <w:noProof/>
                <w:szCs w:val="24"/>
              </w:rPr>
              <w:t>Two-sided documents equal 2 pages.</w:t>
            </w:r>
          </w:p>
        </w:tc>
      </w:tr>
      <w:tr w:rsidR="00D10901" w14:paraId="649AF89B" w14:textId="77777777" w:rsidTr="002B68F9">
        <w:tc>
          <w:tcPr>
            <w:tcW w:w="8635" w:type="dxa"/>
            <w:gridSpan w:val="2"/>
          </w:tcPr>
          <w:p w14:paraId="773919AD" w14:textId="721E0904" w:rsidR="00D10901" w:rsidRPr="00994173" w:rsidRDefault="00D10901" w:rsidP="00B25770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*</w:t>
            </w:r>
            <w:r>
              <w:rPr>
                <w:rFonts w:ascii="Times New Roman" w:hAnsi="Times New Roman" w:cs="Times New Roman"/>
                <w:noProof/>
                <w:szCs w:val="24"/>
              </w:rPr>
              <w:t xml:space="preserve"> Pierce Transit waives fees for production of records if production totals less than $2. Production of records does not include actual cost of digit</w:t>
            </w:r>
            <w:r w:rsidR="00241BA2">
              <w:rPr>
                <w:rFonts w:ascii="Times New Roman" w:hAnsi="Times New Roman" w:cs="Times New Roman"/>
                <w:noProof/>
                <w:szCs w:val="24"/>
              </w:rPr>
              <w:t>a</w:t>
            </w:r>
            <w:r>
              <w:rPr>
                <w:rFonts w:ascii="Times New Roman" w:hAnsi="Times New Roman" w:cs="Times New Roman"/>
                <w:noProof/>
                <w:szCs w:val="24"/>
              </w:rPr>
              <w:t>l storage media device, envelope, and postage. Pierce Transit charges actual costs of digital storage media device, envelope, and postatge (if applicable).</w:t>
            </w:r>
          </w:p>
        </w:tc>
      </w:tr>
    </w:tbl>
    <w:p w14:paraId="461A83BA" w14:textId="2DB585B5" w:rsidR="00D10901" w:rsidRDefault="00D10901" w:rsidP="009E67CB">
      <w:pPr>
        <w:tabs>
          <w:tab w:val="left" w:pos="-720"/>
        </w:tabs>
        <w:suppressAutoHyphens/>
        <w:jc w:val="both"/>
        <w:rPr>
          <w:spacing w:val="-3"/>
        </w:rPr>
      </w:pPr>
    </w:p>
    <w:p w14:paraId="023C5E33" w14:textId="77777777" w:rsidR="00D10901" w:rsidRDefault="00D10901" w:rsidP="009E67CB">
      <w:pPr>
        <w:tabs>
          <w:tab w:val="left" w:pos="-720"/>
        </w:tabs>
        <w:suppressAutoHyphens/>
        <w:jc w:val="both"/>
        <w:rPr>
          <w:spacing w:val="-3"/>
        </w:rPr>
      </w:pPr>
    </w:p>
    <w:p w14:paraId="60F68605" w14:textId="77777777" w:rsidR="00D10901" w:rsidRDefault="00D10901" w:rsidP="009E67CB">
      <w:pPr>
        <w:tabs>
          <w:tab w:val="left" w:pos="-720"/>
        </w:tabs>
        <w:suppressAutoHyphens/>
        <w:jc w:val="both"/>
        <w:rPr>
          <w:spacing w:val="-3"/>
        </w:rPr>
      </w:pPr>
    </w:p>
    <w:p w14:paraId="6C805032" w14:textId="77777777" w:rsidR="00D10901" w:rsidRDefault="00D10901" w:rsidP="009E67CB">
      <w:pPr>
        <w:tabs>
          <w:tab w:val="left" w:pos="-720"/>
        </w:tabs>
        <w:suppressAutoHyphens/>
        <w:jc w:val="both"/>
        <w:rPr>
          <w:spacing w:val="-3"/>
        </w:rPr>
      </w:pPr>
    </w:p>
    <w:sectPr w:rsidR="00D10901" w:rsidSect="002B68F9">
      <w:headerReference w:type="default" r:id="rId8"/>
      <w:endnotePr>
        <w:numFmt w:val="decimal"/>
      </w:endnotePr>
      <w:pgSz w:w="12240" w:h="15840"/>
      <w:pgMar w:top="864" w:right="1440" w:bottom="432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8BF96" w14:textId="77777777" w:rsidR="005B3D9D" w:rsidRDefault="005B3D9D">
      <w:pPr>
        <w:spacing w:line="20" w:lineRule="exact"/>
      </w:pPr>
    </w:p>
  </w:endnote>
  <w:endnote w:type="continuationSeparator" w:id="0">
    <w:p w14:paraId="6F67B8AE" w14:textId="77777777" w:rsidR="005B3D9D" w:rsidRDefault="005B3D9D">
      <w:r>
        <w:t xml:space="preserve"> </w:t>
      </w:r>
    </w:p>
  </w:endnote>
  <w:endnote w:type="continuationNotice" w:id="1">
    <w:p w14:paraId="15DB908A" w14:textId="77777777" w:rsidR="005B3D9D" w:rsidRDefault="005B3D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CBB98" w14:textId="77777777" w:rsidR="005B3D9D" w:rsidRDefault="005B3D9D">
      <w:r>
        <w:separator/>
      </w:r>
    </w:p>
  </w:footnote>
  <w:footnote w:type="continuationSeparator" w:id="0">
    <w:p w14:paraId="6DCADDB4" w14:textId="77777777" w:rsidR="005B3D9D" w:rsidRDefault="005B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6684" w14:textId="77777777" w:rsidR="002B68F9" w:rsidRDefault="002B68F9" w:rsidP="002B68F9">
    <w:pPr>
      <w:pStyle w:val="Header"/>
      <w:jc w:val="right"/>
    </w:pPr>
    <w:r>
      <w:t>Page 2 of 2</w:t>
    </w:r>
  </w:p>
  <w:p w14:paraId="0217975F" w14:textId="77777777" w:rsidR="002B68F9" w:rsidRDefault="002B68F9" w:rsidP="002B68F9">
    <w:pPr>
      <w:pStyle w:val="Header"/>
      <w:jc w:val="right"/>
    </w:pPr>
    <w:r>
      <w:t>Public Hearing Notice</w:t>
    </w:r>
  </w:p>
  <w:p w14:paraId="5E16BA94" w14:textId="77777777" w:rsidR="002B68F9" w:rsidRDefault="002B68F9" w:rsidP="002B68F9">
    <w:pPr>
      <w:pStyle w:val="Header"/>
      <w:jc w:val="right"/>
    </w:pPr>
    <w:r>
      <w:t>Proposed Fee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764F"/>
    <w:multiLevelType w:val="hybridMultilevel"/>
    <w:tmpl w:val="FDA8A62C"/>
    <w:lvl w:ilvl="0" w:tplc="20AA9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8F"/>
    <w:rsid w:val="00084D9D"/>
    <w:rsid w:val="000923F9"/>
    <w:rsid w:val="000D046B"/>
    <w:rsid w:val="000E3B67"/>
    <w:rsid w:val="000F5CEB"/>
    <w:rsid w:val="001644A5"/>
    <w:rsid w:val="001700A6"/>
    <w:rsid w:val="001700FE"/>
    <w:rsid w:val="001872AE"/>
    <w:rsid w:val="001B40DE"/>
    <w:rsid w:val="001C2170"/>
    <w:rsid w:val="002026EA"/>
    <w:rsid w:val="002305C8"/>
    <w:rsid w:val="00241BA2"/>
    <w:rsid w:val="002505B6"/>
    <w:rsid w:val="0026380C"/>
    <w:rsid w:val="002808E4"/>
    <w:rsid w:val="002A521C"/>
    <w:rsid w:val="002B68F9"/>
    <w:rsid w:val="002F1961"/>
    <w:rsid w:val="002F1BC2"/>
    <w:rsid w:val="002F2355"/>
    <w:rsid w:val="00301E86"/>
    <w:rsid w:val="00314E37"/>
    <w:rsid w:val="00353E71"/>
    <w:rsid w:val="00361CB3"/>
    <w:rsid w:val="003802DB"/>
    <w:rsid w:val="003C5489"/>
    <w:rsid w:val="00412005"/>
    <w:rsid w:val="00435FC9"/>
    <w:rsid w:val="004443E5"/>
    <w:rsid w:val="00456D9E"/>
    <w:rsid w:val="004A17CF"/>
    <w:rsid w:val="004B437C"/>
    <w:rsid w:val="004B46F8"/>
    <w:rsid w:val="005A43F8"/>
    <w:rsid w:val="005B3D9D"/>
    <w:rsid w:val="00603F50"/>
    <w:rsid w:val="00636788"/>
    <w:rsid w:val="00680018"/>
    <w:rsid w:val="006A16BC"/>
    <w:rsid w:val="006C55A8"/>
    <w:rsid w:val="006C7C80"/>
    <w:rsid w:val="006E619C"/>
    <w:rsid w:val="00715BA0"/>
    <w:rsid w:val="00796832"/>
    <w:rsid w:val="00797EF3"/>
    <w:rsid w:val="007F3927"/>
    <w:rsid w:val="00816AF1"/>
    <w:rsid w:val="00840E4A"/>
    <w:rsid w:val="00872B2B"/>
    <w:rsid w:val="008758FD"/>
    <w:rsid w:val="00881645"/>
    <w:rsid w:val="008A14A0"/>
    <w:rsid w:val="008C248F"/>
    <w:rsid w:val="008F2B04"/>
    <w:rsid w:val="0091749E"/>
    <w:rsid w:val="0093331B"/>
    <w:rsid w:val="00936C12"/>
    <w:rsid w:val="009700EA"/>
    <w:rsid w:val="009757B9"/>
    <w:rsid w:val="009956E0"/>
    <w:rsid w:val="009E67CB"/>
    <w:rsid w:val="00A11866"/>
    <w:rsid w:val="00A20AD6"/>
    <w:rsid w:val="00A30E00"/>
    <w:rsid w:val="00A959AC"/>
    <w:rsid w:val="00B25770"/>
    <w:rsid w:val="00B62995"/>
    <w:rsid w:val="00B87516"/>
    <w:rsid w:val="00B97030"/>
    <w:rsid w:val="00BA7694"/>
    <w:rsid w:val="00BC49B7"/>
    <w:rsid w:val="00BC584D"/>
    <w:rsid w:val="00BF4065"/>
    <w:rsid w:val="00BF74EA"/>
    <w:rsid w:val="00C02059"/>
    <w:rsid w:val="00C13917"/>
    <w:rsid w:val="00C33AD2"/>
    <w:rsid w:val="00C64798"/>
    <w:rsid w:val="00C96027"/>
    <w:rsid w:val="00CB5103"/>
    <w:rsid w:val="00CC7DAB"/>
    <w:rsid w:val="00CF4184"/>
    <w:rsid w:val="00D10901"/>
    <w:rsid w:val="00D8368C"/>
    <w:rsid w:val="00D91DC7"/>
    <w:rsid w:val="00DD0C2E"/>
    <w:rsid w:val="00DD4C91"/>
    <w:rsid w:val="00DD4CE2"/>
    <w:rsid w:val="00DF3957"/>
    <w:rsid w:val="00F21247"/>
    <w:rsid w:val="00F62552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490DF"/>
  <w15:docId w15:val="{25F4B17D-F652-4E3A-B267-B3FED294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semiHidden/>
    <w:unhideWhenUsed/>
    <w:rsid w:val="00361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1C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2577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09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68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8F9"/>
    <w:rPr>
      <w:sz w:val="24"/>
    </w:rPr>
  </w:style>
  <w:style w:type="paragraph" w:styleId="Footer">
    <w:name w:val="footer"/>
    <w:basedOn w:val="Normal"/>
    <w:link w:val="FooterChar"/>
    <w:unhideWhenUsed/>
    <w:rsid w:val="002B68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8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Pierce Transit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cp:lastModifiedBy>Deanne Jacobson</cp:lastModifiedBy>
  <cp:revision>2</cp:revision>
  <cp:lastPrinted>2018-08-01T00:19:00Z</cp:lastPrinted>
  <dcterms:created xsi:type="dcterms:W3CDTF">2018-09-13T18:02:00Z</dcterms:created>
  <dcterms:modified xsi:type="dcterms:W3CDTF">2018-09-13T18:02:00Z</dcterms:modified>
</cp:coreProperties>
</file>